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941D" w14:textId="455CC122" w:rsidR="00BD32C9" w:rsidRPr="00BD32C9" w:rsidRDefault="00BD32C9" w:rsidP="00BD32C9">
      <w:pPr>
        <w:rPr>
          <w:b/>
          <w:bCs/>
        </w:rPr>
      </w:pPr>
      <w:proofErr w:type="spellStart"/>
      <w:r w:rsidRPr="00BD32C9">
        <w:rPr>
          <w:b/>
          <w:bCs/>
          <w:lang w:val="en-GB"/>
        </w:rPr>
        <w:t>Capnor</w:t>
      </w:r>
      <w:proofErr w:type="spellEnd"/>
      <w:r w:rsidRPr="00BD32C9">
        <w:rPr>
          <w:b/>
          <w:bCs/>
          <w:lang w:val="en-GB"/>
        </w:rPr>
        <w:t xml:space="preserve"> W</w:t>
      </w:r>
      <w:r w:rsidRPr="00BD32C9">
        <w:rPr>
          <w:b/>
          <w:bCs/>
          <w:lang w:val="en-GB"/>
        </w:rPr>
        <w:t>ea</w:t>
      </w:r>
      <w:r w:rsidRPr="00BD32C9">
        <w:rPr>
          <w:b/>
          <w:bCs/>
          <w:lang w:val="en-GB"/>
        </w:rPr>
        <w:t xml:space="preserve">sel </w:t>
      </w:r>
      <w:proofErr w:type="spellStart"/>
      <w:r w:rsidRPr="00BD32C9">
        <w:rPr>
          <w:b/>
          <w:bCs/>
          <w:lang w:val="en-GB"/>
        </w:rPr>
        <w:t>Bidco</w:t>
      </w:r>
      <w:proofErr w:type="spellEnd"/>
      <w:r w:rsidRPr="00BD32C9">
        <w:rPr>
          <w:b/>
          <w:bCs/>
          <w:lang w:val="en-GB"/>
        </w:rPr>
        <w:t xml:space="preserve"> Financial Statements and Annual Report</w:t>
      </w:r>
      <w:r>
        <w:rPr>
          <w:b/>
          <w:bCs/>
          <w:lang w:val="en-GB"/>
        </w:rPr>
        <w:t xml:space="preserve"> has been published</w:t>
      </w:r>
    </w:p>
    <w:p w14:paraId="535C41CA" w14:textId="77777777" w:rsidR="00BD32C9" w:rsidRDefault="00BD32C9" w:rsidP="00BD32C9"/>
    <w:p w14:paraId="719727EA" w14:textId="132C299C" w:rsidR="00BD32C9" w:rsidRPr="00BD32C9" w:rsidRDefault="00BD32C9" w:rsidP="00BD32C9">
      <w:pPr>
        <w:rPr>
          <w:lang w:val="en-GB"/>
        </w:rPr>
      </w:pPr>
      <w:proofErr w:type="spellStart"/>
      <w:r w:rsidRPr="00BD32C9">
        <w:rPr>
          <w:lang w:val="en-GB"/>
        </w:rPr>
        <w:t>Ca</w:t>
      </w:r>
      <w:r>
        <w:rPr>
          <w:lang w:val="en-GB"/>
        </w:rPr>
        <w:t>pnor</w:t>
      </w:r>
      <w:proofErr w:type="spellEnd"/>
      <w:r>
        <w:rPr>
          <w:lang w:val="en-GB"/>
        </w:rPr>
        <w:t xml:space="preserve"> Weasel </w:t>
      </w:r>
      <w:proofErr w:type="spellStart"/>
      <w:r>
        <w:rPr>
          <w:lang w:val="en-GB"/>
        </w:rPr>
        <w:t>Bidco</w:t>
      </w:r>
      <w:proofErr w:type="spellEnd"/>
      <w:r>
        <w:rPr>
          <w:lang w:val="en-GB"/>
        </w:rPr>
        <w:t xml:space="preserve"> </w:t>
      </w:r>
      <w:r w:rsidRPr="00BD32C9">
        <w:t>Financial Statements and Annual Report for the period October 4, 2019 – December 31, 2019</w:t>
      </w:r>
      <w:r w:rsidRPr="00BD32C9">
        <w:rPr>
          <w:lang w:val="en-GB"/>
        </w:rPr>
        <w:t xml:space="preserve"> </w:t>
      </w:r>
      <w:r>
        <w:rPr>
          <w:lang w:val="en-GB"/>
        </w:rPr>
        <w:t>has been published.</w:t>
      </w:r>
    </w:p>
    <w:p w14:paraId="3B09AB71" w14:textId="77777777" w:rsidR="00BD32C9" w:rsidRDefault="00BD32C9" w:rsidP="00BD32C9"/>
    <w:p w14:paraId="3CB5E8F5" w14:textId="3A51E83D" w:rsidR="00BD32C9" w:rsidRPr="00BD32C9" w:rsidRDefault="00BD32C9" w:rsidP="00BD32C9">
      <w:pPr>
        <w:rPr>
          <w:b/>
          <w:bCs/>
        </w:rPr>
      </w:pPr>
      <w:r w:rsidRPr="00BD32C9">
        <w:rPr>
          <w:b/>
          <w:bCs/>
        </w:rPr>
        <w:t>Financial IFRS key figures</w:t>
      </w:r>
    </w:p>
    <w:p w14:paraId="29B6D65F" w14:textId="77777777" w:rsidR="00BD32C9" w:rsidRDefault="00BD32C9" w:rsidP="00BD32C9">
      <w:proofErr w:type="spellStart"/>
      <w:r>
        <w:t>Capnor</w:t>
      </w:r>
      <w:proofErr w:type="spellEnd"/>
      <w:r>
        <w:t xml:space="preserve"> Weasel </w:t>
      </w:r>
      <w:proofErr w:type="spellStart"/>
      <w:r>
        <w:t>Bidco</w:t>
      </w:r>
      <w:proofErr w:type="spellEnd"/>
      <w:r>
        <w:t xml:space="preserve"> Group's key figures for the period October 4, 2019 - December 31, 2019:</w:t>
      </w:r>
    </w:p>
    <w:p w14:paraId="664ACC68" w14:textId="77777777" w:rsidR="00BD32C9" w:rsidRDefault="00BD32C9" w:rsidP="00BD32C9">
      <w:pPr>
        <w:pStyle w:val="ListParagraph"/>
        <w:numPr>
          <w:ilvl w:val="0"/>
          <w:numId w:val="1"/>
        </w:numPr>
      </w:pPr>
      <w:r>
        <w:t>Revenue (EUR 1,000) 7 112</w:t>
      </w:r>
    </w:p>
    <w:p w14:paraId="5E90A013" w14:textId="77777777" w:rsidR="00BD32C9" w:rsidRDefault="00BD32C9" w:rsidP="00BD32C9">
      <w:pPr>
        <w:pStyle w:val="ListParagraph"/>
        <w:numPr>
          <w:ilvl w:val="0"/>
          <w:numId w:val="1"/>
        </w:numPr>
      </w:pPr>
      <w:r>
        <w:t>Operating profit (EUR 1,000) -3 992</w:t>
      </w:r>
    </w:p>
    <w:p w14:paraId="6D59E120" w14:textId="77777777" w:rsidR="00BD32C9" w:rsidRDefault="00BD32C9" w:rsidP="00BD32C9">
      <w:pPr>
        <w:pStyle w:val="ListParagraph"/>
        <w:numPr>
          <w:ilvl w:val="0"/>
          <w:numId w:val="1"/>
        </w:numPr>
      </w:pPr>
      <w:r>
        <w:t>Operating profit (%) -56,1</w:t>
      </w:r>
    </w:p>
    <w:p w14:paraId="2C1E7BDE" w14:textId="77777777" w:rsidR="00BD32C9" w:rsidRDefault="00BD32C9" w:rsidP="00BD32C9">
      <w:pPr>
        <w:pStyle w:val="ListParagraph"/>
        <w:numPr>
          <w:ilvl w:val="0"/>
          <w:numId w:val="1"/>
        </w:numPr>
      </w:pPr>
      <w:r>
        <w:t>Return on equity (%) -62,2</w:t>
      </w:r>
    </w:p>
    <w:p w14:paraId="2882B536" w14:textId="77777777" w:rsidR="00531540" w:rsidRDefault="00BD32C9" w:rsidP="00BD32C9">
      <w:pPr>
        <w:pStyle w:val="ListParagraph"/>
        <w:numPr>
          <w:ilvl w:val="0"/>
          <w:numId w:val="1"/>
        </w:numPr>
      </w:pPr>
      <w:r>
        <w:t>Equity ratio (%) 61</w:t>
      </w:r>
    </w:p>
    <w:p w14:paraId="396EAFFC" w14:textId="77777777" w:rsidR="00BD32C9" w:rsidRDefault="00BD32C9" w:rsidP="00BD32C9"/>
    <w:p w14:paraId="73A43E4E" w14:textId="1E7F47AD" w:rsidR="00BD32C9" w:rsidRPr="00BD32C9" w:rsidRDefault="00BD32C9" w:rsidP="00BD32C9">
      <w:pPr>
        <w:rPr>
          <w:lang w:val="en-GB"/>
        </w:rPr>
      </w:pPr>
    </w:p>
    <w:sectPr w:rsidR="00BD32C9" w:rsidRPr="00BD3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06A"/>
    <w:multiLevelType w:val="hybridMultilevel"/>
    <w:tmpl w:val="D17C27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C9"/>
    <w:rsid w:val="00531540"/>
    <w:rsid w:val="00B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A18C"/>
  <w15:chartTrackingRefBased/>
  <w15:docId w15:val="{199C49C0-B586-4230-AA9D-FAB4F9A0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Kemppainen</dc:creator>
  <cp:keywords/>
  <dc:description/>
  <cp:lastModifiedBy>Riitta Kemppainen</cp:lastModifiedBy>
  <cp:revision>1</cp:revision>
  <dcterms:created xsi:type="dcterms:W3CDTF">2020-04-30T12:35:00Z</dcterms:created>
  <dcterms:modified xsi:type="dcterms:W3CDTF">2020-04-30T12:41:00Z</dcterms:modified>
</cp:coreProperties>
</file>